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1E" w:rsidRDefault="00DE140D">
      <w:r>
        <w:t>Documented changes to the manuscript.</w:t>
      </w:r>
    </w:p>
    <w:p w:rsidR="00DE140D" w:rsidRDefault="00DE140D">
      <w:pPr>
        <w:rPr>
          <w:rFonts w:ascii="SW" w:hAnsi="SW" w:cs="TimesNewRomanPSMT"/>
          <w:sz w:val="24"/>
          <w:szCs w:val="24"/>
        </w:rPr>
      </w:pPr>
      <w:r>
        <w:t xml:space="preserve">In the observational calculations, the HADcrut4 surface temperature data has been replaced by </w:t>
      </w:r>
      <w:proofErr w:type="spellStart"/>
      <w:r>
        <w:t>Cowtan</w:t>
      </w:r>
      <w:proofErr w:type="spellEnd"/>
      <w:r>
        <w:t xml:space="preserve"> and Way’s reconstruction of the HADcrut4 data that interpolates over regions of missing data. As a result, the feedback parameters are slightly modified (for this set of analyses and the average of all analyses) in Table 2. The observational results have been re-plotted in Figure 3a (solid gray square and dashed gray error bound) and the </w:t>
      </w:r>
      <w:proofErr w:type="spellStart"/>
      <w:r>
        <w:t>uncertainity</w:t>
      </w:r>
      <w:proofErr w:type="spellEnd"/>
      <w:r>
        <w:t xml:space="preserve"> has been drawn as an ellipse, reflecting the independence of the </w:t>
      </w:r>
      <w:proofErr w:type="spellStart"/>
      <w:r>
        <w:t>uncertainities</w:t>
      </w:r>
      <w:proofErr w:type="spellEnd"/>
      <w:r>
        <w:t xml:space="preserve"> in </w:t>
      </w:r>
      <w:proofErr w:type="spellStart"/>
      <w:r>
        <w:rPr>
          <w:rFonts w:ascii="TimesNewRomanPSMT" w:hAnsi="TimesNewRomanPSMT" w:cs="TimesNewRomanPSMT"/>
          <w:sz w:val="24"/>
          <w:szCs w:val="24"/>
        </w:rPr>
        <w:t>λ</w:t>
      </w:r>
      <w:r>
        <w:rPr>
          <w:rFonts w:ascii="SW" w:hAnsi="SW" w:cs="TimesNewRomanPSMT"/>
          <w:sz w:val="24"/>
          <w:szCs w:val="24"/>
          <w:vertAlign w:val="subscript"/>
        </w:rPr>
        <w:t>SW</w:t>
      </w:r>
      <w:proofErr w:type="spellEnd"/>
      <w:r>
        <w:rPr>
          <w:rFonts w:ascii="SW" w:hAnsi="SW" w:cs="TimesNewRomanPSMT"/>
          <w:sz w:val="24"/>
          <w:szCs w:val="24"/>
        </w:rPr>
        <w:t xml:space="preserve"> and</w:t>
      </w:r>
      <w:r w:rsidRPr="00DE140D">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λ</w:t>
      </w:r>
      <w:r>
        <w:rPr>
          <w:rFonts w:ascii="SW" w:hAnsi="SW" w:cs="TimesNewRomanPSMT"/>
          <w:sz w:val="24"/>
          <w:szCs w:val="24"/>
          <w:vertAlign w:val="subscript"/>
        </w:rPr>
        <w:t>LW</w:t>
      </w:r>
      <w:proofErr w:type="spellEnd"/>
      <w:r w:rsidR="00DE4719">
        <w:rPr>
          <w:rFonts w:ascii="SW" w:hAnsi="SW" w:cs="TimesNewRomanPSMT"/>
          <w:sz w:val="24"/>
          <w:szCs w:val="24"/>
        </w:rPr>
        <w:t>. This change is also implemented</w:t>
      </w:r>
      <w:r>
        <w:rPr>
          <w:rFonts w:ascii="SW" w:hAnsi="SW" w:cs="TimesNewRomanPSMT"/>
          <w:sz w:val="24"/>
          <w:szCs w:val="24"/>
        </w:rPr>
        <w:t xml:space="preserve"> throughout the text, when the temperature data set is introduced and referred to. The quantitative statements regarding this data set have been updated in the text including the trend and variance (first full paragraph in right hand column of page 8). </w:t>
      </w:r>
    </w:p>
    <w:p w:rsidR="00DE140D" w:rsidRDefault="00DE140D">
      <w:pPr>
        <w:rPr>
          <w:rFonts w:ascii="SW" w:hAnsi="SW" w:cs="TimesNewRomanPSMT"/>
          <w:sz w:val="24"/>
          <w:szCs w:val="24"/>
        </w:rPr>
      </w:pPr>
      <w:r>
        <w:rPr>
          <w:rFonts w:ascii="SW" w:hAnsi="SW" w:cs="TimesNewRomanPSMT"/>
          <w:sz w:val="24"/>
          <w:szCs w:val="24"/>
        </w:rPr>
        <w:t>The method of calculating uncertainties in the observational estimates of the feedbacks has been expanded upon in the main text (page 5</w:t>
      </w:r>
      <w:proofErr w:type="gramStart"/>
      <w:r>
        <w:rPr>
          <w:rFonts w:ascii="SW" w:hAnsi="SW" w:cs="TimesNewRomanPSMT"/>
          <w:sz w:val="24"/>
          <w:szCs w:val="24"/>
        </w:rPr>
        <w:t>,middle</w:t>
      </w:r>
      <w:proofErr w:type="gramEnd"/>
      <w:r>
        <w:rPr>
          <w:rFonts w:ascii="SW" w:hAnsi="SW" w:cs="TimesNewRomanPSMT"/>
          <w:sz w:val="24"/>
          <w:szCs w:val="24"/>
        </w:rPr>
        <w:t xml:space="preserve"> of left column) and in the Supplemental Information.</w:t>
      </w:r>
      <w:r w:rsidR="002C30D9">
        <w:rPr>
          <w:rFonts w:ascii="SW" w:hAnsi="SW" w:cs="TimesNewRomanPSMT"/>
          <w:sz w:val="24"/>
          <w:szCs w:val="24"/>
        </w:rPr>
        <w:t xml:space="preserve"> We have also added figure S1 to clarify this point.</w:t>
      </w:r>
    </w:p>
    <w:p w:rsidR="00EA326C" w:rsidRDefault="00EA326C">
      <w:pPr>
        <w:rPr>
          <w:rFonts w:ascii="SW" w:hAnsi="SW" w:cs="TimesNewRomanPSMT"/>
          <w:sz w:val="24"/>
          <w:szCs w:val="24"/>
        </w:rPr>
      </w:pPr>
      <w:r>
        <w:rPr>
          <w:rFonts w:ascii="SW" w:hAnsi="SW" w:cs="TimesNewRomanPSMT"/>
          <w:sz w:val="24"/>
          <w:szCs w:val="24"/>
        </w:rPr>
        <w:t>The words “driven by enhanced ASR” have been changed to “due to enhanced ASR” in the abst</w:t>
      </w:r>
      <w:r w:rsidR="009033F2">
        <w:rPr>
          <w:rFonts w:ascii="SW" w:hAnsi="SW" w:cs="TimesNewRomanPSMT"/>
          <w:sz w:val="24"/>
          <w:szCs w:val="24"/>
        </w:rPr>
        <w:t>ract</w:t>
      </w:r>
      <w:r w:rsidR="00D201A9">
        <w:rPr>
          <w:rFonts w:ascii="SW" w:hAnsi="SW" w:cs="TimesNewRomanPSMT"/>
          <w:sz w:val="24"/>
          <w:szCs w:val="24"/>
        </w:rPr>
        <w:t xml:space="preserve"> </w:t>
      </w:r>
      <w:r w:rsidR="009033F2">
        <w:rPr>
          <w:rFonts w:ascii="SW" w:hAnsi="SW" w:cs="TimesNewRomanPSMT"/>
          <w:sz w:val="24"/>
          <w:szCs w:val="24"/>
        </w:rPr>
        <w:t>and throughout</w:t>
      </w:r>
      <w:r>
        <w:rPr>
          <w:rFonts w:ascii="SW" w:hAnsi="SW" w:cs="TimesNewRomanPSMT"/>
          <w:sz w:val="24"/>
          <w:szCs w:val="24"/>
        </w:rPr>
        <w:t xml:space="preserve"> the main text</w:t>
      </w:r>
      <w:r w:rsidR="00D201A9">
        <w:rPr>
          <w:rFonts w:ascii="SW" w:hAnsi="SW" w:cs="TimesNewRomanPSMT"/>
          <w:sz w:val="24"/>
          <w:szCs w:val="24"/>
        </w:rPr>
        <w:t xml:space="preserve"> and omitted from the significance statement</w:t>
      </w:r>
      <w:r>
        <w:rPr>
          <w:rFonts w:ascii="SW" w:hAnsi="SW" w:cs="TimesNewRomanPSMT"/>
          <w:sz w:val="24"/>
          <w:szCs w:val="24"/>
        </w:rPr>
        <w:t>.</w:t>
      </w:r>
      <w:r w:rsidR="009033F2">
        <w:rPr>
          <w:rFonts w:ascii="SW" w:hAnsi="SW" w:cs="TimesNewRomanPSMT"/>
          <w:sz w:val="24"/>
          <w:szCs w:val="24"/>
        </w:rPr>
        <w:t xml:space="preserve"> </w:t>
      </w:r>
      <w:r>
        <w:rPr>
          <w:rFonts w:ascii="SW" w:hAnsi="SW" w:cs="TimesNewRomanPSMT"/>
          <w:sz w:val="24"/>
          <w:szCs w:val="24"/>
        </w:rPr>
        <w:t xml:space="preserve"> </w:t>
      </w:r>
    </w:p>
    <w:p w:rsidR="005F3990" w:rsidRDefault="005F3990">
      <w:pPr>
        <w:rPr>
          <w:rFonts w:ascii="SW" w:hAnsi="SW" w:cs="TimesNewRomanPSMT"/>
          <w:sz w:val="24"/>
          <w:szCs w:val="24"/>
        </w:rPr>
      </w:pPr>
      <w:r>
        <w:rPr>
          <w:rFonts w:ascii="SW" w:hAnsi="SW" w:cs="TimesNewRomanPSMT"/>
          <w:sz w:val="24"/>
          <w:szCs w:val="24"/>
        </w:rPr>
        <w:t>We have expanded on our definition of heat capacity</w:t>
      </w:r>
      <w:r w:rsidR="009033F2">
        <w:rPr>
          <w:rFonts w:ascii="SW" w:hAnsi="SW" w:cs="TimesNewRomanPSMT"/>
          <w:sz w:val="24"/>
          <w:szCs w:val="24"/>
        </w:rPr>
        <w:t xml:space="preserve"> (first full paragraph on page 3</w:t>
      </w:r>
      <w:r>
        <w:rPr>
          <w:rFonts w:ascii="SW" w:hAnsi="SW" w:cs="TimesNewRomanPSMT"/>
          <w:sz w:val="24"/>
          <w:szCs w:val="24"/>
        </w:rPr>
        <w:t>) and placed this definition in the context of existing literature.</w:t>
      </w:r>
      <w:r w:rsidR="000D4A22">
        <w:rPr>
          <w:rFonts w:ascii="SW" w:hAnsi="SW" w:cs="TimesNewRomanPSMT"/>
          <w:sz w:val="24"/>
          <w:szCs w:val="24"/>
        </w:rPr>
        <w:t xml:space="preserve"> We have also rewritten our discussion of the e-folding timescale (text surrounding equations 4 and 5).</w:t>
      </w:r>
    </w:p>
    <w:p w:rsidR="002D074D" w:rsidRDefault="002D074D">
      <w:pPr>
        <w:rPr>
          <w:rFonts w:ascii="SW" w:hAnsi="SW" w:cs="TimesNewRomanPSMT"/>
          <w:sz w:val="24"/>
          <w:szCs w:val="24"/>
        </w:rPr>
      </w:pPr>
      <w:r>
        <w:rPr>
          <w:rFonts w:ascii="SW" w:hAnsi="SW" w:cs="TimesNewRomanPSMT"/>
          <w:sz w:val="24"/>
          <w:szCs w:val="24"/>
        </w:rPr>
        <w:t>“Preindustrial” has been changed to “pre-industrial” throughout.</w:t>
      </w:r>
    </w:p>
    <w:p w:rsidR="008F45F9" w:rsidRDefault="008F45F9">
      <w:pPr>
        <w:rPr>
          <w:rFonts w:ascii="SW" w:hAnsi="SW" w:cs="TimesNewRomanPSMT"/>
          <w:sz w:val="24"/>
          <w:szCs w:val="24"/>
        </w:rPr>
      </w:pPr>
      <w:r>
        <w:rPr>
          <w:rFonts w:ascii="SW" w:hAnsi="SW" w:cs="TimesNewRomanPSMT"/>
          <w:sz w:val="24"/>
          <w:szCs w:val="24"/>
        </w:rPr>
        <w:t xml:space="preserve">A citation to </w:t>
      </w:r>
      <w:proofErr w:type="spellStart"/>
      <w:r>
        <w:rPr>
          <w:rFonts w:ascii="SW" w:hAnsi="SW" w:cs="TimesNewRomanPSMT"/>
          <w:sz w:val="24"/>
          <w:szCs w:val="24"/>
        </w:rPr>
        <w:t>Budyko</w:t>
      </w:r>
      <w:proofErr w:type="spellEnd"/>
      <w:r>
        <w:rPr>
          <w:rFonts w:ascii="SW" w:hAnsi="SW" w:cs="TimesNewRomanPSMT"/>
          <w:sz w:val="24"/>
          <w:szCs w:val="24"/>
        </w:rPr>
        <w:t xml:space="preserve"> (1969) has been added to introduce Eq. 2.</w:t>
      </w:r>
    </w:p>
    <w:p w:rsidR="00E05458" w:rsidRDefault="00E05458" w:rsidP="00D82014">
      <w:pPr>
        <w:rPr>
          <w:rFonts w:ascii="SW" w:hAnsi="SW" w:cs="TimesNewRomanPSMT"/>
          <w:sz w:val="24"/>
          <w:szCs w:val="24"/>
        </w:rPr>
      </w:pPr>
      <w:r>
        <w:rPr>
          <w:rFonts w:ascii="SW" w:hAnsi="SW" w:cs="TimesNewRomanPSMT"/>
          <w:sz w:val="24"/>
          <w:szCs w:val="24"/>
        </w:rPr>
        <w:t>The caption t</w:t>
      </w:r>
      <w:r w:rsidR="00DE4719">
        <w:rPr>
          <w:rFonts w:ascii="SW" w:hAnsi="SW" w:cs="TimesNewRomanPSMT"/>
          <w:sz w:val="24"/>
          <w:szCs w:val="24"/>
        </w:rPr>
        <w:t>o Figure 1 has been rewritten f</w:t>
      </w:r>
      <w:r>
        <w:rPr>
          <w:rFonts w:ascii="SW" w:hAnsi="SW" w:cs="TimesNewRomanPSMT"/>
          <w:sz w:val="24"/>
          <w:szCs w:val="24"/>
        </w:rPr>
        <w:t>o</w:t>
      </w:r>
      <w:r w:rsidR="00DE4719">
        <w:rPr>
          <w:rFonts w:ascii="SW" w:hAnsi="SW" w:cs="TimesNewRomanPSMT"/>
          <w:sz w:val="24"/>
          <w:szCs w:val="24"/>
        </w:rPr>
        <w:t>r</w:t>
      </w:r>
      <w:r>
        <w:rPr>
          <w:rFonts w:ascii="SW" w:hAnsi="SW" w:cs="TimesNewRomanPSMT"/>
          <w:sz w:val="24"/>
          <w:szCs w:val="24"/>
        </w:rPr>
        <w:t xml:space="preserve"> clarity.</w:t>
      </w:r>
    </w:p>
    <w:p w:rsidR="00D82014" w:rsidRDefault="00D82014" w:rsidP="00D82014">
      <w:pPr>
        <w:rPr>
          <w:rFonts w:ascii="SW" w:hAnsi="SW" w:cs="TimesNewRomanPSMT"/>
          <w:sz w:val="24"/>
          <w:szCs w:val="24"/>
        </w:rPr>
      </w:pPr>
      <w:r>
        <w:rPr>
          <w:rFonts w:ascii="SW" w:hAnsi="SW" w:cs="TimesNewRomanPSMT"/>
          <w:sz w:val="24"/>
          <w:szCs w:val="24"/>
        </w:rPr>
        <w:t>We have clarified our definition of feedback and forcing gains and added citations to the literature where other gains have been used (</w:t>
      </w:r>
      <w:r w:rsidR="009E136B">
        <w:rPr>
          <w:rFonts w:ascii="SW" w:hAnsi="SW" w:cs="TimesNewRomanPSMT"/>
          <w:sz w:val="24"/>
          <w:szCs w:val="24"/>
        </w:rPr>
        <w:t>the footnote prior to the introduction of Eq. 3</w:t>
      </w:r>
      <w:r>
        <w:rPr>
          <w:rFonts w:ascii="SW" w:hAnsi="SW" w:cs="TimesNewRomanPSMT"/>
          <w:sz w:val="24"/>
          <w:szCs w:val="24"/>
        </w:rPr>
        <w:t xml:space="preserve">). </w:t>
      </w:r>
    </w:p>
    <w:p w:rsidR="009033F2" w:rsidRPr="009033F2" w:rsidRDefault="009033F2">
      <w:pPr>
        <w:rPr>
          <w:rFonts w:ascii="SW" w:hAnsi="SW" w:cs="TimesNewRomanPSMT"/>
          <w:i/>
          <w:sz w:val="24"/>
          <w:szCs w:val="24"/>
        </w:rPr>
      </w:pPr>
      <w:r>
        <w:rPr>
          <w:rFonts w:ascii="SW" w:hAnsi="SW" w:cs="TimesNewRomanPSMT"/>
          <w:sz w:val="24"/>
          <w:szCs w:val="24"/>
        </w:rPr>
        <w:t>We have added the statement: “(under the assumption that F</w:t>
      </w:r>
      <w:r>
        <w:rPr>
          <w:rFonts w:ascii="SW" w:hAnsi="SW" w:cs="TimesNewRomanPSMT"/>
          <w:sz w:val="24"/>
          <w:szCs w:val="24"/>
          <w:vertAlign w:val="subscript"/>
        </w:rPr>
        <w:t xml:space="preserve">SW </w:t>
      </w:r>
      <w:r>
        <w:rPr>
          <w:rFonts w:ascii="SW" w:hAnsi="SW" w:cs="TimesNewRomanPSMT"/>
          <w:sz w:val="24"/>
          <w:szCs w:val="24"/>
        </w:rPr>
        <w:t>= 0)” to the paragraph before equation 6 is introduced.</w:t>
      </w:r>
    </w:p>
    <w:p w:rsidR="00D82014" w:rsidRDefault="00D82014">
      <w:pPr>
        <w:rPr>
          <w:rFonts w:ascii="SW" w:hAnsi="SW" w:cs="TimesNewRomanPSMT"/>
          <w:sz w:val="24"/>
          <w:szCs w:val="24"/>
        </w:rPr>
      </w:pPr>
      <w:r>
        <w:rPr>
          <w:rFonts w:ascii="SW" w:hAnsi="SW" w:cs="TimesNewRomanPSMT"/>
          <w:sz w:val="24"/>
          <w:szCs w:val="24"/>
        </w:rPr>
        <w:t>We have expa</w:t>
      </w:r>
      <w:r w:rsidR="00DE4719">
        <w:rPr>
          <w:rFonts w:ascii="SW" w:hAnsi="SW" w:cs="TimesNewRomanPSMT"/>
          <w:sz w:val="24"/>
          <w:szCs w:val="24"/>
        </w:rPr>
        <w:t>nded the discussion and added caveats to</w:t>
      </w:r>
      <w:r>
        <w:rPr>
          <w:rFonts w:ascii="SW" w:hAnsi="SW" w:cs="TimesNewRomanPSMT"/>
          <w:sz w:val="24"/>
          <w:szCs w:val="24"/>
        </w:rPr>
        <w:t xml:space="preserve"> the analysis where a single heat capacity is used (second paragraph of d</w:t>
      </w:r>
      <w:bookmarkStart w:id="0" w:name="_GoBack"/>
      <w:bookmarkEnd w:id="0"/>
      <w:r>
        <w:rPr>
          <w:rFonts w:ascii="SW" w:hAnsi="SW" w:cs="TimesNewRomanPSMT"/>
          <w:sz w:val="24"/>
          <w:szCs w:val="24"/>
        </w:rPr>
        <w:t>iscussion).</w:t>
      </w:r>
    </w:p>
    <w:p w:rsidR="007A67E3" w:rsidRDefault="007A67E3">
      <w:pPr>
        <w:rPr>
          <w:rFonts w:ascii="SW" w:hAnsi="SW" w:cs="TimesNewRomanPSMT"/>
          <w:sz w:val="24"/>
          <w:szCs w:val="24"/>
        </w:rPr>
      </w:pPr>
      <w:r>
        <w:rPr>
          <w:rFonts w:ascii="SW" w:hAnsi="SW" w:cs="TimesNewRomanPSMT"/>
          <w:sz w:val="24"/>
          <w:szCs w:val="24"/>
        </w:rPr>
        <w:t>In the right hand axis of Figure 2B, the radiative e-folding timescale is now defined as the heat capacity divided by the total feedback parameter (previously the LW feedb</w:t>
      </w:r>
      <w:r w:rsidR="00DE4719">
        <w:rPr>
          <w:rFonts w:ascii="SW" w:hAnsi="SW" w:cs="TimesNewRomanPSMT"/>
          <w:sz w:val="24"/>
          <w:szCs w:val="24"/>
        </w:rPr>
        <w:t xml:space="preserve">ack parameter). The caption </w:t>
      </w:r>
      <w:r>
        <w:rPr>
          <w:rFonts w:ascii="SW" w:hAnsi="SW" w:cs="TimesNewRomanPSMT"/>
          <w:sz w:val="24"/>
          <w:szCs w:val="24"/>
        </w:rPr>
        <w:t xml:space="preserve">has </w:t>
      </w:r>
      <w:r w:rsidR="00DE4719">
        <w:rPr>
          <w:rFonts w:ascii="SW" w:hAnsi="SW" w:cs="TimesNewRomanPSMT"/>
          <w:sz w:val="24"/>
          <w:szCs w:val="24"/>
        </w:rPr>
        <w:t>also been updated</w:t>
      </w:r>
      <w:r>
        <w:rPr>
          <w:rFonts w:ascii="SW" w:hAnsi="SW" w:cs="TimesNewRomanPSMT"/>
          <w:sz w:val="24"/>
          <w:szCs w:val="24"/>
        </w:rPr>
        <w:t xml:space="preserve"> to note this definition.</w:t>
      </w:r>
    </w:p>
    <w:p w:rsidR="007A67E3" w:rsidRDefault="007A67E3">
      <w:pPr>
        <w:rPr>
          <w:rFonts w:ascii="SW" w:hAnsi="SW" w:cs="TimesNewRomanPSMT"/>
          <w:sz w:val="24"/>
          <w:szCs w:val="24"/>
        </w:rPr>
      </w:pPr>
    </w:p>
    <w:p w:rsidR="002C30D9" w:rsidRDefault="002C30D9">
      <w:pPr>
        <w:rPr>
          <w:rFonts w:ascii="SW" w:hAnsi="SW" w:cs="TimesNewRomanPSMT"/>
          <w:sz w:val="24"/>
          <w:szCs w:val="24"/>
        </w:rPr>
      </w:pPr>
      <w:r>
        <w:rPr>
          <w:rFonts w:ascii="SW" w:hAnsi="SW" w:cs="TimesNewRomanPSMT"/>
          <w:sz w:val="24"/>
          <w:szCs w:val="24"/>
        </w:rPr>
        <w:lastRenderedPageBreak/>
        <w:t xml:space="preserve">The last sentence in last full paragraph on page 6 has been rewritten to emphasize that the sentence refers to estimations of </w:t>
      </w:r>
      <w:proofErr w:type="spellStart"/>
      <w:r>
        <w:rPr>
          <w:rFonts w:ascii="TimesNewRomanPSMT" w:hAnsi="TimesNewRomanPSMT" w:cs="TimesNewRomanPSMT"/>
          <w:sz w:val="24"/>
          <w:szCs w:val="24"/>
        </w:rPr>
        <w:t>τ</w:t>
      </w:r>
      <w:r>
        <w:rPr>
          <w:rFonts w:ascii="TimesNewRomanPSMT" w:hAnsi="TimesNewRomanPSMT" w:cs="TimesNewRomanPSMT"/>
          <w:sz w:val="24"/>
          <w:szCs w:val="24"/>
          <w:vertAlign w:val="subscript"/>
        </w:rPr>
        <w:t>CROSS</w:t>
      </w:r>
      <w:proofErr w:type="spellEnd"/>
      <w:r>
        <w:rPr>
          <w:rFonts w:ascii="SW" w:hAnsi="SW" w:cs="TimesNewRomanPSMT"/>
          <w:sz w:val="24"/>
          <w:szCs w:val="24"/>
        </w:rPr>
        <w:t>.</w:t>
      </w:r>
    </w:p>
    <w:p w:rsidR="005E1DE9" w:rsidRDefault="005E1DE9">
      <w:pPr>
        <w:rPr>
          <w:rFonts w:ascii="SW" w:hAnsi="SW" w:cs="TimesNewRomanPSMT"/>
          <w:sz w:val="24"/>
          <w:szCs w:val="24"/>
        </w:rPr>
      </w:pPr>
      <w:r>
        <w:rPr>
          <w:rFonts w:ascii="SW" w:hAnsi="SW" w:cs="TimesNewRomanPSMT"/>
          <w:sz w:val="24"/>
          <w:szCs w:val="24"/>
        </w:rPr>
        <w:t>The axes labels in Fig. 3 have been condensed and the figure caption has been rewritten for clarity.</w:t>
      </w:r>
    </w:p>
    <w:p w:rsidR="005E1DE9" w:rsidRDefault="005E1DE9">
      <w:pPr>
        <w:rPr>
          <w:rFonts w:ascii="SW" w:hAnsi="SW" w:cs="TimesNewRomanPSMT"/>
          <w:sz w:val="24"/>
          <w:szCs w:val="24"/>
        </w:rPr>
      </w:pPr>
    </w:p>
    <w:p w:rsidR="00DE140D" w:rsidRDefault="00DE140D">
      <w:pPr>
        <w:rPr>
          <w:rFonts w:ascii="SW" w:hAnsi="SW" w:cs="TimesNewRomanPSMT"/>
          <w:sz w:val="24"/>
          <w:szCs w:val="24"/>
        </w:rPr>
      </w:pPr>
      <w:r>
        <w:rPr>
          <w:rFonts w:ascii="SW" w:hAnsi="SW" w:cs="TimesNewRomanPSMT"/>
          <w:sz w:val="24"/>
          <w:szCs w:val="24"/>
        </w:rPr>
        <w:t xml:space="preserve">We have clarified that the ensemble mean </w:t>
      </w:r>
      <w:proofErr w:type="spellStart"/>
      <w:r>
        <w:rPr>
          <w:rFonts w:ascii="TimesNewRomanPSMT" w:hAnsi="TimesNewRomanPSMT" w:cs="TimesNewRomanPSMT"/>
          <w:sz w:val="24"/>
          <w:szCs w:val="24"/>
        </w:rPr>
        <w:t>λ</w:t>
      </w:r>
      <w:r>
        <w:rPr>
          <w:rFonts w:ascii="SW" w:hAnsi="SW" w:cs="TimesNewRomanPSMT"/>
          <w:sz w:val="24"/>
          <w:szCs w:val="24"/>
          <w:vertAlign w:val="subscript"/>
        </w:rPr>
        <w:t>SW</w:t>
      </w:r>
      <w:proofErr w:type="spellEnd"/>
      <w:r>
        <w:rPr>
          <w:rFonts w:ascii="SW" w:hAnsi="SW" w:cs="TimesNewRomanPSMT"/>
          <w:sz w:val="24"/>
          <w:szCs w:val="24"/>
        </w:rPr>
        <w:t xml:space="preserve"> </w:t>
      </w:r>
      <w:r w:rsidR="00F40735">
        <w:rPr>
          <w:rFonts w:ascii="SW" w:hAnsi="SW" w:cs="TimesNewRomanPSMT"/>
          <w:sz w:val="24"/>
          <w:szCs w:val="24"/>
        </w:rPr>
        <w:t>is explained by the surface albedo and atmospheric shortwave absorption feedbacks only in the absence of any cloud changes (last paragraph of manuscript).</w:t>
      </w:r>
    </w:p>
    <w:p w:rsidR="002C30D9" w:rsidRDefault="002C30D9">
      <w:pPr>
        <w:rPr>
          <w:rFonts w:ascii="SW" w:hAnsi="SW" w:cs="TimesNewRomanPSMT"/>
          <w:sz w:val="24"/>
          <w:szCs w:val="24"/>
        </w:rPr>
      </w:pPr>
      <w:r>
        <w:rPr>
          <w:rFonts w:ascii="SW" w:hAnsi="SW" w:cs="TimesNewRomanPSMT"/>
          <w:sz w:val="24"/>
          <w:szCs w:val="24"/>
        </w:rPr>
        <w:t>“Supplemental Information” has been changed to “Supporting Information” throughout.</w:t>
      </w:r>
    </w:p>
    <w:p w:rsidR="005F3990" w:rsidRDefault="005F3990">
      <w:pPr>
        <w:rPr>
          <w:rFonts w:ascii="SW" w:hAnsi="SW" w:cs="TimesNewRomanPSMT"/>
          <w:sz w:val="24"/>
          <w:szCs w:val="24"/>
        </w:rPr>
      </w:pPr>
      <w:r>
        <w:rPr>
          <w:rFonts w:ascii="SW" w:hAnsi="SW" w:cs="TimesNewRomanPSMT"/>
          <w:sz w:val="24"/>
          <w:szCs w:val="24"/>
        </w:rPr>
        <w:t>A citation to Kim et al. (1992) has been added after Eq. 13.</w:t>
      </w:r>
    </w:p>
    <w:p w:rsidR="002C30D9" w:rsidRDefault="002C30D9">
      <w:pPr>
        <w:rPr>
          <w:rFonts w:ascii="SW" w:hAnsi="SW" w:cs="TimesNewRomanPSMT"/>
          <w:sz w:val="24"/>
          <w:szCs w:val="24"/>
        </w:rPr>
      </w:pPr>
      <w:r>
        <w:rPr>
          <w:rFonts w:ascii="SW" w:hAnsi="SW" w:cs="TimesNewRomanPSMT"/>
          <w:sz w:val="24"/>
          <w:szCs w:val="24"/>
        </w:rPr>
        <w:t>The upper limit of integration of Equation 13a has been changed from an uppercase T to lowercase t to be consistent with the time variable defined elsewhere.</w:t>
      </w:r>
    </w:p>
    <w:p w:rsidR="00DF2744" w:rsidRDefault="00DF2744">
      <w:pPr>
        <w:rPr>
          <w:rFonts w:ascii="TimesNewRomanPSMT" w:hAnsi="TimesNewRomanPSMT" w:cs="TimesNewRomanPSMT"/>
          <w:sz w:val="24"/>
          <w:szCs w:val="24"/>
        </w:rPr>
      </w:pPr>
      <w:r>
        <w:rPr>
          <w:rFonts w:ascii="SW" w:hAnsi="SW" w:cs="TimesNewRomanPSMT"/>
          <w:sz w:val="24"/>
          <w:szCs w:val="24"/>
        </w:rPr>
        <w:t xml:space="preserve">After equation 13, the sentence describing the derivation of Eq. [10] has been changed to: </w:t>
      </w:r>
      <w:r>
        <w:rPr>
          <w:rFonts w:ascii="TimesNewRomanPSMT" w:hAnsi="TimesNewRomanPSMT" w:cs="TimesNewRomanPSMT"/>
          <w:color w:val="010202"/>
          <w:sz w:val="24"/>
          <w:szCs w:val="24"/>
        </w:rPr>
        <w:t>“Identifying t=</w:t>
      </w:r>
      <w:r w:rsidRPr="000175C9">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τ</w:t>
      </w:r>
      <w:r>
        <w:rPr>
          <w:rFonts w:ascii="TimesNewRomanPSMT" w:hAnsi="TimesNewRomanPSMT" w:cs="TimesNewRomanPSMT"/>
          <w:sz w:val="24"/>
          <w:szCs w:val="24"/>
          <w:vertAlign w:val="subscript"/>
        </w:rPr>
        <w:t>RAMP</w:t>
      </w:r>
      <w:proofErr w:type="spellEnd"/>
      <w:r>
        <w:rPr>
          <w:rFonts w:ascii="TimesNewRomanPSMT" w:hAnsi="TimesNewRomanPSMT" w:cs="TimesNewRomanPSMT"/>
          <w:sz w:val="24"/>
          <w:szCs w:val="24"/>
          <w:vertAlign w:val="subscript"/>
        </w:rPr>
        <w:t xml:space="preserve"> </w:t>
      </w:r>
      <w:r w:rsidRPr="000175C9">
        <w:rPr>
          <w:rFonts w:ascii="TimesNewRomanPSMT" w:hAnsi="TimesNewRomanPSMT" w:cs="TimesNewRomanPSMT"/>
          <w:sz w:val="24"/>
          <w:szCs w:val="24"/>
        </w:rPr>
        <w:t>when the left hand side of</w:t>
      </w:r>
      <w:r>
        <w:rPr>
          <w:rFonts w:ascii="TimesNewRomanPSMT" w:hAnsi="TimesNewRomanPSMT" w:cs="TimesNewRomanPSMT"/>
          <w:sz w:val="24"/>
          <w:szCs w:val="24"/>
        </w:rPr>
        <w:t xml:space="preserve"> Equation [13c] = 0 and solving for </w:t>
      </w:r>
      <w:proofErr w:type="spellStart"/>
      <w:r>
        <w:rPr>
          <w:rFonts w:ascii="TimesNewRomanPSMT" w:hAnsi="TimesNewRomanPSMT" w:cs="TimesNewRomanPSMT"/>
          <w:sz w:val="24"/>
          <w:szCs w:val="24"/>
        </w:rPr>
        <w:t>τ</w:t>
      </w:r>
      <w:r>
        <w:rPr>
          <w:rFonts w:ascii="TimesNewRomanPSMT" w:hAnsi="TimesNewRomanPSMT" w:cs="TimesNewRomanPSMT"/>
          <w:sz w:val="24"/>
          <w:szCs w:val="24"/>
          <w:vertAlign w:val="subscript"/>
        </w:rPr>
        <w:t>RAMP</w:t>
      </w:r>
      <w:proofErr w:type="spellEnd"/>
      <w:r>
        <w:rPr>
          <w:rFonts w:ascii="TimesNewRomanPSMT" w:hAnsi="TimesNewRomanPSMT" w:cs="TimesNewRomanPSMT"/>
          <w:sz w:val="24"/>
          <w:szCs w:val="24"/>
        </w:rPr>
        <w:t xml:space="preserve"> gives Eq. [10]”</w:t>
      </w:r>
      <w:r w:rsidRPr="000175C9">
        <w:rPr>
          <w:rFonts w:ascii="TimesNewRomanPSMT" w:hAnsi="TimesNewRomanPSMT" w:cs="TimesNewRomanPSMT"/>
          <w:sz w:val="24"/>
          <w:szCs w:val="24"/>
        </w:rPr>
        <w:t>.</w:t>
      </w:r>
    </w:p>
    <w:p w:rsidR="00DF2744" w:rsidRDefault="00DF2744">
      <w:pPr>
        <w:rPr>
          <w:rFonts w:ascii="TimesNewRomanPSMT" w:hAnsi="TimesNewRomanPSMT" w:cs="TimesNewRomanPSMT"/>
          <w:sz w:val="24"/>
          <w:szCs w:val="24"/>
        </w:rPr>
      </w:pPr>
      <w:proofErr w:type="gramStart"/>
      <w:r>
        <w:rPr>
          <w:rFonts w:ascii="TimesNewRomanPSMT" w:hAnsi="TimesNewRomanPSMT" w:cs="TimesNewRomanPSMT"/>
          <w:sz w:val="24"/>
          <w:szCs w:val="24"/>
        </w:rPr>
        <w:t>Last sentence in first paragraph on right column of page 8.</w:t>
      </w:r>
      <w:proofErr w:type="gramEnd"/>
      <w:r>
        <w:rPr>
          <w:rFonts w:ascii="TimesNewRomanPSMT" w:hAnsi="TimesNewRomanPSMT" w:cs="TimesNewRomanPSMT"/>
          <w:sz w:val="24"/>
          <w:szCs w:val="24"/>
        </w:rPr>
        <w:t xml:space="preserve"> “</w:t>
      </w:r>
      <w:proofErr w:type="gramStart"/>
      <w:r>
        <w:rPr>
          <w:rFonts w:ascii="TimesNewRomanPSMT" w:hAnsi="TimesNewRomanPSMT" w:cs="TimesNewRomanPSMT"/>
          <w:sz w:val="24"/>
          <w:szCs w:val="24"/>
        </w:rPr>
        <w:t>priori</w:t>
      </w:r>
      <w:proofErr w:type="gramEnd"/>
      <w:r>
        <w:rPr>
          <w:rFonts w:ascii="TimesNewRomanPSMT" w:hAnsi="TimesNewRomanPSMT" w:cs="TimesNewRomanPSMT"/>
          <w:sz w:val="24"/>
          <w:szCs w:val="24"/>
        </w:rPr>
        <w:t>” changed to “prior”.</w:t>
      </w:r>
    </w:p>
    <w:p w:rsidR="00DF2744" w:rsidRDefault="00DF2744">
      <w:proofErr w:type="gramStart"/>
      <w:r>
        <w:rPr>
          <w:rFonts w:ascii="TimesNewRomanPSMT" w:hAnsi="TimesNewRomanPSMT" w:cs="TimesNewRomanPSMT"/>
          <w:sz w:val="24"/>
          <w:szCs w:val="24"/>
        </w:rPr>
        <w:t>Middle paragraph in right column page 8.</w:t>
      </w:r>
      <w:proofErr w:type="gramEnd"/>
      <w:r>
        <w:rPr>
          <w:rFonts w:ascii="TimesNewRomanPSMT" w:hAnsi="TimesNewRomanPSMT" w:cs="TimesNewRomanPSMT"/>
          <w:sz w:val="24"/>
          <w:szCs w:val="24"/>
        </w:rPr>
        <w:t xml:space="preserve"> Units have been added to the feedback parameter results.</w:t>
      </w:r>
    </w:p>
    <w:sectPr w:rsidR="00DF2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W">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0D"/>
    <w:rsid w:val="000D4A22"/>
    <w:rsid w:val="000F7A1E"/>
    <w:rsid w:val="002C30D9"/>
    <w:rsid w:val="002D074D"/>
    <w:rsid w:val="005E1DE9"/>
    <w:rsid w:val="005F3990"/>
    <w:rsid w:val="007A67E3"/>
    <w:rsid w:val="00837678"/>
    <w:rsid w:val="008F45F9"/>
    <w:rsid w:val="009033F2"/>
    <w:rsid w:val="009E136B"/>
    <w:rsid w:val="00D201A9"/>
    <w:rsid w:val="00D82014"/>
    <w:rsid w:val="00DE140D"/>
    <w:rsid w:val="00DE4719"/>
    <w:rsid w:val="00DF2744"/>
    <w:rsid w:val="00E05458"/>
    <w:rsid w:val="00EA326C"/>
    <w:rsid w:val="00F40735"/>
    <w:rsid w:val="00F9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thedhoe</cp:lastModifiedBy>
  <cp:revision>12</cp:revision>
  <dcterms:created xsi:type="dcterms:W3CDTF">2014-08-15T19:07:00Z</dcterms:created>
  <dcterms:modified xsi:type="dcterms:W3CDTF">2014-09-23T23:51:00Z</dcterms:modified>
</cp:coreProperties>
</file>