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012" w:rsidRDefault="007605CF">
      <w:r>
        <w:rPr>
          <w:b/>
        </w:rPr>
        <w:t xml:space="preserve">Overview: </w:t>
      </w:r>
      <w:r w:rsidR="00A770DD">
        <w:t xml:space="preserve">The spatial distribution of tropical precipitation is determined by the </w:t>
      </w:r>
      <w:r w:rsidR="00E17FAB">
        <w:t xml:space="preserve">average </w:t>
      </w:r>
      <w:r w:rsidR="00A770DD">
        <w:t>location and seasonal march of the intertropical convergence zone</w:t>
      </w:r>
      <w:r w:rsidR="00694929">
        <w:t xml:space="preserve"> (ITCZ)</w:t>
      </w:r>
      <w:r w:rsidR="00A770DD">
        <w:t xml:space="preserve">. The paradigm of a latitudinal translation of the ITCZ – an ITCZ shift – is ubiquitous for interpreting past climate changes and defining mechanisms of the response to climate forcing (past and future). We demonstrate that the simultaneous contraction and </w:t>
      </w:r>
      <w:r w:rsidR="00694929">
        <w:t>intensification</w:t>
      </w:r>
      <w:r w:rsidR="00E17FAB">
        <w:t xml:space="preserve"> --hereafter CI mode -- of the ITCZ </w:t>
      </w:r>
      <w:r w:rsidR="00A770DD">
        <w:t xml:space="preserve">is </w:t>
      </w:r>
      <w:r w:rsidR="00694929">
        <w:t>a far more powerful (factor of 4) mode of tropical precipitation</w:t>
      </w:r>
      <w:r w:rsidR="00A770DD">
        <w:t xml:space="preserve"> changes in response to both paleoclimate and anthropogenic forcing than the more commonly employed ITCZ shif</w:t>
      </w:r>
      <w:r w:rsidR="00694929">
        <w:t xml:space="preserve">t. </w:t>
      </w:r>
      <w:r w:rsidR="00003E3E">
        <w:t>Furthermore, in an ensemble of coupled climate model simulations, there is a robust expansion and intensity reduction of the ITCZ in response to last glacial maximum boundary conditions and a robust ITCZ contraction and intensification in response to CO</w:t>
      </w:r>
      <w:r w:rsidR="00003E3E">
        <w:rPr>
          <w:vertAlign w:val="subscript"/>
        </w:rPr>
        <w:t>2</w:t>
      </w:r>
      <w:r w:rsidR="00003E3E">
        <w:t xml:space="preserve"> quadrupling. In contrast, the ITCZ shift in response to the same forcing varies in sign between ensemble member and is not significantly different than zero. The CI mode of the ITCZ is both more effic</w:t>
      </w:r>
      <w:r w:rsidR="00E17FAB">
        <w:t>ient than the ITCZ shift</w:t>
      </w:r>
      <w:r w:rsidR="00003E3E">
        <w:t xml:space="preserve"> in describing past and future changes in the tropical precipitation and responds robustly and systematically to external forcing.</w:t>
      </w:r>
      <w:r>
        <w:t xml:space="preserve"> In the propose</w:t>
      </w:r>
      <w:r w:rsidR="00E17FAB">
        <w:t>d</w:t>
      </w:r>
      <w:r>
        <w:t xml:space="preserve"> work, we will: 1. explore the dynamics of the CI</w:t>
      </w:r>
      <w:r w:rsidR="00E17FAB">
        <w:t xml:space="preserve"> mode</w:t>
      </w:r>
      <w:r>
        <w:t xml:space="preserve"> to determine what mechanisms lead to the robust directionality of changes seen in simulations of past and future climate as well as the </w:t>
      </w:r>
      <w:r w:rsidR="00694929">
        <w:t>uncertainties</w:t>
      </w:r>
      <w:r w:rsidR="00E17FAB">
        <w:t xml:space="preserve"> in these processes and 2. u</w:t>
      </w:r>
      <w:r>
        <w:t>se the emerging knowledge o</w:t>
      </w:r>
      <w:r w:rsidR="00E17FAB">
        <w:t>f the CI mode to reinterpret the</w:t>
      </w:r>
      <w:r>
        <w:t xml:space="preserve"> paleoclimate record to constrain the past behavior of ITCZ shifts versus contractions/intensifications. The overarching goal is to understand how past knowledge of the CI mode deduced from </w:t>
      </w:r>
      <w:proofErr w:type="spellStart"/>
      <w:r>
        <w:t>paleoproxy</w:t>
      </w:r>
      <w:proofErr w:type="spellEnd"/>
      <w:r>
        <w:t xml:space="preserve"> records coupled with a dynamical understanding of this mode constrains future tropical precipitation changes and variability.</w:t>
      </w:r>
    </w:p>
    <w:p w:rsidR="00D25EE0" w:rsidRDefault="00D25EE0" w:rsidP="00D25EE0">
      <w:pPr>
        <w:rPr>
          <w:rFonts w:eastAsia="Times New Roman" w:cstheme="minorHAnsi"/>
        </w:rPr>
      </w:pPr>
      <w:r>
        <w:rPr>
          <w:b/>
        </w:rPr>
        <w:t>Intellectual M</w:t>
      </w:r>
      <w:r w:rsidR="0010311F">
        <w:rPr>
          <w:b/>
        </w:rPr>
        <w:t>erit:</w:t>
      </w:r>
      <w:r w:rsidR="0010311F">
        <w:t xml:space="preserve"> We emphasize that the proposed work primarily involves reinterpreting existing</w:t>
      </w:r>
      <w:r>
        <w:t xml:space="preserve"> and archived digital</w:t>
      </w:r>
      <w:r w:rsidR="0010311F">
        <w:t xml:space="preserve"> paleoclimate data using a novel and emerging framework of the dominant modes of tropical precipitation variability without additional development of proxy records. This work directly addresses </w:t>
      </w:r>
      <w:r w:rsidR="0010311F" w:rsidRPr="00D25EE0">
        <w:t>the core P2C2 intellectual objectives: 1. “</w:t>
      </w:r>
      <w:r w:rsidR="00881B39" w:rsidRPr="00D25EE0">
        <w:rPr>
          <w:i/>
        </w:rPr>
        <w:t>document the past temporal and spatial variability of Earth's climate system</w:t>
      </w:r>
      <w:r w:rsidR="0010311F" w:rsidRPr="00D25EE0">
        <w:rPr>
          <w:i/>
        </w:rPr>
        <w:t>”</w:t>
      </w:r>
      <w:r w:rsidR="0010311F" w:rsidRPr="00D25EE0">
        <w:t xml:space="preserve"> by </w:t>
      </w:r>
      <w:r w:rsidR="0010311F" w:rsidRPr="00D25EE0">
        <w:rPr>
          <w:rFonts w:cstheme="minorHAnsi"/>
        </w:rPr>
        <w:t>combining proxy records</w:t>
      </w:r>
      <w:r w:rsidRPr="00D25EE0">
        <w:rPr>
          <w:rFonts w:cstheme="minorHAnsi"/>
        </w:rPr>
        <w:t xml:space="preserve"> to determine past ITCZ contractions; 2. </w:t>
      </w:r>
      <w:r w:rsidRPr="00D25EE0">
        <w:rPr>
          <w:rFonts w:cstheme="minorHAnsi"/>
          <w:i/>
        </w:rPr>
        <w:t>“</w:t>
      </w:r>
      <w:r w:rsidRPr="00D25EE0">
        <w:rPr>
          <w:rFonts w:eastAsia="Times New Roman" w:cstheme="minorHAnsi"/>
          <w:i/>
        </w:rPr>
        <w:t>determine the sensitivity of the Earth's climate system to variations in climate-forcing factors</w:t>
      </w:r>
      <w:r w:rsidRPr="00D25EE0">
        <w:rPr>
          <w:rFonts w:eastAsia="Times New Roman" w:cstheme="minorHAnsi"/>
        </w:rPr>
        <w:t>” by analyzing the degree and mechanism by which global forcing impacts the ITCZ contraction spanning from past cold climates to future warm climates and; 3</w:t>
      </w:r>
      <w:r w:rsidRPr="00D25EE0">
        <w:rPr>
          <w:rFonts w:eastAsia="Times New Roman" w:cstheme="minorHAnsi"/>
          <w:i/>
        </w:rPr>
        <w:t>.</w:t>
      </w:r>
      <w:r w:rsidRPr="00D25EE0">
        <w:rPr>
          <w:rFonts w:cstheme="minorHAnsi"/>
          <w:i/>
        </w:rPr>
        <w:t xml:space="preserve"> “provide a test environment for simulation predictions from numerical models</w:t>
      </w:r>
      <w:r w:rsidRPr="00D25EE0">
        <w:rPr>
          <w:rFonts w:eastAsia="Times New Roman" w:cstheme="minorHAnsi"/>
          <w:i/>
        </w:rPr>
        <w:t>”</w:t>
      </w:r>
      <w:r w:rsidRPr="00D25EE0">
        <w:rPr>
          <w:rFonts w:eastAsia="Times New Roman" w:cstheme="minorHAnsi"/>
        </w:rPr>
        <w:t xml:space="preserve"> by defining new metrics (the behavior of the CI mode) to evaluate how well models simulate past and future changes and variability of the ITCZ width.</w:t>
      </w:r>
      <w:r>
        <w:rPr>
          <w:rFonts w:eastAsia="Times New Roman" w:cstheme="minorHAnsi"/>
        </w:rPr>
        <w:t xml:space="preserve"> The proposed underlying mechanism for the behavior of the CI mode also links the tropical hydroclimate variability to climate processes at all latitudes including the polar regions.</w:t>
      </w:r>
    </w:p>
    <w:p w:rsidR="00881B39" w:rsidRPr="00D62F4F" w:rsidRDefault="00D25EE0">
      <w:pPr>
        <w:rPr>
          <w:rFonts w:eastAsia="Times New Roman" w:cstheme="minorHAnsi"/>
          <w:sz w:val="19"/>
          <w:szCs w:val="19"/>
        </w:rPr>
      </w:pPr>
      <w:r>
        <w:rPr>
          <w:rFonts w:eastAsia="Times New Roman" w:cstheme="minorHAnsi"/>
          <w:b/>
        </w:rPr>
        <w:t xml:space="preserve">Broader Impacts: </w:t>
      </w:r>
      <w:r>
        <w:rPr>
          <w:rFonts w:eastAsia="Times New Roman" w:cstheme="minorHAnsi"/>
        </w:rPr>
        <w:t>The variability and changes in tropical hydroclimate have widespread socioeconomic and biological impacts. The proposed work will use a combination of paleocl</w:t>
      </w:r>
      <w:r w:rsidR="00C407DE">
        <w:rPr>
          <w:rFonts w:eastAsia="Times New Roman" w:cstheme="minorHAnsi"/>
        </w:rPr>
        <w:t>imate data and dynamical models</w:t>
      </w:r>
      <w:r>
        <w:rPr>
          <w:rFonts w:eastAsia="Times New Roman" w:cstheme="minorHAnsi"/>
        </w:rPr>
        <w:t xml:space="preserve"> to evaluate and improve the ability of climate models to forecast </w:t>
      </w:r>
      <w:r w:rsidR="00C407DE">
        <w:rPr>
          <w:rFonts w:eastAsia="Times New Roman" w:cstheme="minorHAnsi"/>
        </w:rPr>
        <w:t xml:space="preserve">broad-scale </w:t>
      </w:r>
      <w:r>
        <w:rPr>
          <w:rFonts w:eastAsia="Times New Roman" w:cstheme="minorHAnsi"/>
        </w:rPr>
        <w:t xml:space="preserve">future </w:t>
      </w:r>
      <w:r w:rsidR="00694929">
        <w:rPr>
          <w:rFonts w:eastAsia="Times New Roman" w:cstheme="minorHAnsi"/>
        </w:rPr>
        <w:t>changes (</w:t>
      </w:r>
      <w:r w:rsidR="00C407DE">
        <w:rPr>
          <w:rFonts w:eastAsia="Times New Roman" w:cstheme="minorHAnsi"/>
        </w:rPr>
        <w:t xml:space="preserve">and variability) in the magnitude and spatial structure topical precipitation. Conveying to the general public how past knowledge of the climate system informs the scope and magnitude of future climate change and its impact is a powerful tool for garnering appreciation of the importance of climate research. The </w:t>
      </w:r>
      <w:r w:rsidR="00694929">
        <w:rPr>
          <w:rFonts w:eastAsia="Times New Roman" w:cstheme="minorHAnsi"/>
        </w:rPr>
        <w:t>robust connection between past and future changes in the width and intensity of the ITCZ as the planet cools and warms is a clear example of the link between past and future climate change. We will develop lecture material and museum module to convey these points as part o</w:t>
      </w:r>
      <w:r w:rsidR="00E17FAB">
        <w:rPr>
          <w:rFonts w:eastAsia="Times New Roman" w:cstheme="minorHAnsi"/>
        </w:rPr>
        <w:t>f the University of Washington Program on Climate Change</w:t>
      </w:r>
      <w:r w:rsidR="00694929">
        <w:rPr>
          <w:rFonts w:eastAsia="Times New Roman" w:cstheme="minorHAnsi"/>
        </w:rPr>
        <w:t xml:space="preserve"> outreach program and the </w:t>
      </w:r>
      <w:r w:rsidR="00694929">
        <w:t>Pola</w:t>
      </w:r>
      <w:r w:rsidR="00E17FAB">
        <w:t xml:space="preserve">r Science Weekends at the </w:t>
      </w:r>
      <w:r w:rsidR="00694929">
        <w:t>Pacific Science Center</w:t>
      </w:r>
      <w:r w:rsidR="00E17FAB">
        <w:t xml:space="preserve"> in Seattle</w:t>
      </w:r>
      <w:bookmarkStart w:id="0" w:name="_GoBack"/>
      <w:bookmarkEnd w:id="0"/>
      <w:r w:rsidR="00694929">
        <w:t>.</w:t>
      </w:r>
      <w:r w:rsidR="00C407DE">
        <w:rPr>
          <w:rFonts w:eastAsia="Times New Roman" w:cstheme="minorHAnsi"/>
        </w:rPr>
        <w:t xml:space="preserve"> </w:t>
      </w:r>
      <w:r w:rsidR="00C407DE">
        <w:t xml:space="preserve">This proposal will also support the career growth of two early career scientists (Donohoe and Atwood). </w:t>
      </w:r>
    </w:p>
    <w:sectPr w:rsidR="00881B39" w:rsidRPr="00D62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0DD"/>
    <w:rsid w:val="00003E3E"/>
    <w:rsid w:val="0010311F"/>
    <w:rsid w:val="00694929"/>
    <w:rsid w:val="00753E46"/>
    <w:rsid w:val="007605CF"/>
    <w:rsid w:val="00881B39"/>
    <w:rsid w:val="00A770DD"/>
    <w:rsid w:val="00AE4A2A"/>
    <w:rsid w:val="00C407DE"/>
    <w:rsid w:val="00D25EE0"/>
    <w:rsid w:val="00D62F4F"/>
    <w:rsid w:val="00E17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17621"/>
  <w15:chartTrackingRefBased/>
  <w15:docId w15:val="{5297FAFB-C440-4C62-807A-FA5B3C23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597783">
      <w:bodyDiv w:val="1"/>
      <w:marLeft w:val="0"/>
      <w:marRight w:val="0"/>
      <w:marTop w:val="0"/>
      <w:marBottom w:val="0"/>
      <w:divBdr>
        <w:top w:val="none" w:sz="0" w:space="0" w:color="auto"/>
        <w:left w:val="none" w:sz="0" w:space="0" w:color="auto"/>
        <w:bottom w:val="none" w:sz="0" w:space="0" w:color="auto"/>
        <w:right w:val="none" w:sz="0" w:space="0" w:color="auto"/>
      </w:divBdr>
      <w:divsChild>
        <w:div w:id="1288658586">
          <w:marLeft w:val="0"/>
          <w:marRight w:val="0"/>
          <w:marTop w:val="0"/>
          <w:marBottom w:val="0"/>
          <w:divBdr>
            <w:top w:val="none" w:sz="0" w:space="0" w:color="auto"/>
            <w:left w:val="none" w:sz="0" w:space="0" w:color="auto"/>
            <w:bottom w:val="none" w:sz="0" w:space="0" w:color="auto"/>
            <w:right w:val="none" w:sz="0" w:space="0" w:color="auto"/>
          </w:divBdr>
        </w:div>
        <w:div w:id="1313170783">
          <w:marLeft w:val="0"/>
          <w:marRight w:val="0"/>
          <w:marTop w:val="0"/>
          <w:marBottom w:val="0"/>
          <w:divBdr>
            <w:top w:val="none" w:sz="0" w:space="0" w:color="auto"/>
            <w:left w:val="none" w:sz="0" w:space="0" w:color="auto"/>
            <w:bottom w:val="none" w:sz="0" w:space="0" w:color="auto"/>
            <w:right w:val="none" w:sz="0" w:space="0" w:color="auto"/>
          </w:divBdr>
        </w:div>
      </w:divsChild>
    </w:div>
    <w:div w:id="788546898">
      <w:bodyDiv w:val="1"/>
      <w:marLeft w:val="0"/>
      <w:marRight w:val="0"/>
      <w:marTop w:val="0"/>
      <w:marBottom w:val="0"/>
      <w:divBdr>
        <w:top w:val="none" w:sz="0" w:space="0" w:color="auto"/>
        <w:left w:val="none" w:sz="0" w:space="0" w:color="auto"/>
        <w:bottom w:val="none" w:sz="0" w:space="0" w:color="auto"/>
        <w:right w:val="none" w:sz="0" w:space="0" w:color="auto"/>
      </w:divBdr>
      <w:divsChild>
        <w:div w:id="279193011">
          <w:marLeft w:val="0"/>
          <w:marRight w:val="0"/>
          <w:marTop w:val="0"/>
          <w:marBottom w:val="0"/>
          <w:divBdr>
            <w:top w:val="none" w:sz="0" w:space="0" w:color="auto"/>
            <w:left w:val="none" w:sz="0" w:space="0" w:color="auto"/>
            <w:bottom w:val="none" w:sz="0" w:space="0" w:color="auto"/>
            <w:right w:val="none" w:sz="0" w:space="0" w:color="auto"/>
          </w:divBdr>
        </w:div>
        <w:div w:id="1698694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Donohoe</dc:creator>
  <cp:keywords/>
  <dc:description/>
  <cp:lastModifiedBy>Aaron Donohoe</cp:lastModifiedBy>
  <cp:revision>5</cp:revision>
  <dcterms:created xsi:type="dcterms:W3CDTF">2016-10-06T14:48:00Z</dcterms:created>
  <dcterms:modified xsi:type="dcterms:W3CDTF">2016-10-11T02:21:00Z</dcterms:modified>
</cp:coreProperties>
</file>